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04" w:rsidRDefault="00384F04" w:rsidP="00384F04">
      <w:pPr>
        <w:pStyle w:val="BodyText"/>
      </w:pPr>
      <w:bookmarkStart w:id="0" w:name="_GoBack"/>
      <w:bookmarkEnd w:id="0"/>
      <w:r>
        <w:t>The minutes of the regular meeting of the Board of Trustees of the Green Island Power Authority held on Monday, September 15, 2014 at 6:00 p.m. at the Green Island Municipal Center, 19 George Street, Green Island, New York.</w:t>
      </w:r>
    </w:p>
    <w:p w:rsidR="00384F04" w:rsidRDefault="00384F04" w:rsidP="00384F04">
      <w:pPr>
        <w:jc w:val="both"/>
      </w:pPr>
    </w:p>
    <w:p w:rsidR="00384F04" w:rsidRDefault="00384F04" w:rsidP="00384F04">
      <w:pPr>
        <w:jc w:val="both"/>
      </w:pPr>
      <w:r>
        <w:t>Chairperson McNulty-Ryan called the meeting to order.</w:t>
      </w:r>
    </w:p>
    <w:p w:rsidR="00384F04" w:rsidRDefault="00384F04" w:rsidP="00384F04">
      <w:pPr>
        <w:jc w:val="both"/>
      </w:pPr>
    </w:p>
    <w:p w:rsidR="00384F04" w:rsidRDefault="00384F04" w:rsidP="00384F04">
      <w:pPr>
        <w:jc w:val="both"/>
      </w:pPr>
      <w:r>
        <w:t>Chairperson McNulty-Ryan, Vice Chairman Cocca, Trustees DeMento, Perfetti, Bourgeois and Attorney Legnard.</w:t>
      </w:r>
    </w:p>
    <w:p w:rsidR="00384F04" w:rsidRDefault="00384F04" w:rsidP="00384F04">
      <w:pPr>
        <w:jc w:val="both"/>
      </w:pPr>
    </w:p>
    <w:p w:rsidR="00384F04" w:rsidRDefault="00384F04" w:rsidP="00384F04">
      <w:pPr>
        <w:jc w:val="both"/>
      </w:pPr>
      <w:r>
        <w:t>Also, in attendance:  Kristin M. Swinton, CEO and Madeline Paterniani, CFO.</w:t>
      </w:r>
    </w:p>
    <w:p w:rsidR="00384F04" w:rsidRDefault="00384F04" w:rsidP="00384F04">
      <w:pPr>
        <w:jc w:val="both"/>
      </w:pPr>
    </w:p>
    <w:p w:rsidR="00384F04" w:rsidRDefault="00384F04" w:rsidP="00384F04">
      <w:pPr>
        <w:jc w:val="both"/>
      </w:pPr>
      <w:r>
        <w:t>All present.</w:t>
      </w:r>
    </w:p>
    <w:p w:rsidR="00384F04" w:rsidRDefault="00384F04" w:rsidP="00384F04">
      <w:pPr>
        <w:jc w:val="both"/>
      </w:pPr>
    </w:p>
    <w:p w:rsidR="00384F04" w:rsidRDefault="00384F04" w:rsidP="00384F04">
      <w:pPr>
        <w:jc w:val="both"/>
      </w:pPr>
      <w:r>
        <w:t>Chairperson McNulty-Ryan noted that there was no one listed to speak at Public Forum.</w:t>
      </w:r>
    </w:p>
    <w:p w:rsidR="00384F04" w:rsidRDefault="00384F04" w:rsidP="00384F04">
      <w:pPr>
        <w:jc w:val="both"/>
      </w:pPr>
    </w:p>
    <w:p w:rsidR="00384F04" w:rsidRDefault="00384F04" w:rsidP="00384F04">
      <w:pPr>
        <w:jc w:val="both"/>
      </w:pPr>
      <w:r>
        <w:t>On a motion by Vice Chairman Cocca seconded by Trustee DeMento and carried, to approve the minutes of the regular meeting held on August 18, 2014.  All ayes.</w:t>
      </w:r>
    </w:p>
    <w:p w:rsidR="00384F04" w:rsidRDefault="00384F04" w:rsidP="00384F04">
      <w:pPr>
        <w:jc w:val="both"/>
      </w:pPr>
    </w:p>
    <w:p w:rsidR="00384F04" w:rsidRDefault="00384F04" w:rsidP="00384F04">
      <w:pPr>
        <w:jc w:val="both"/>
      </w:pPr>
      <w:r>
        <w:t>No communications.</w:t>
      </w:r>
    </w:p>
    <w:p w:rsidR="00384F04" w:rsidRDefault="00384F04" w:rsidP="00384F04">
      <w:pPr>
        <w:jc w:val="both"/>
      </w:pPr>
    </w:p>
    <w:p w:rsidR="00384F04" w:rsidRDefault="00384F04" w:rsidP="00384F04">
      <w:pPr>
        <w:jc w:val="both"/>
      </w:pPr>
      <w:r>
        <w:t xml:space="preserve">On a motion by Trustee Bourgeois seconded by Vice Chairman Cocca and carried, to approve the claims as submitted in the amount of $107,802.64, along with the monthly Addendum amount of $129,151.59.  All ayes.  </w:t>
      </w:r>
    </w:p>
    <w:p w:rsidR="00384F04" w:rsidRDefault="00384F04" w:rsidP="00384F04">
      <w:pPr>
        <w:jc w:val="both"/>
      </w:pPr>
    </w:p>
    <w:p w:rsidR="00384F04" w:rsidRDefault="00384F04" w:rsidP="00384F04">
      <w:pPr>
        <w:jc w:val="both"/>
      </w:pPr>
      <w:r>
        <w:t>On a motion by Trustee DeMento seconded by Vice Chairman Cocca and carried, to approve the monthly report of the Chief Financial Officer as submitted.  All ayes.</w:t>
      </w:r>
    </w:p>
    <w:p w:rsidR="00384F04" w:rsidRDefault="00384F04" w:rsidP="00384F04">
      <w:pPr>
        <w:jc w:val="both"/>
      </w:pPr>
    </w:p>
    <w:p w:rsidR="00384F04" w:rsidRDefault="00384F04" w:rsidP="00384F04">
      <w:pPr>
        <w:jc w:val="both"/>
      </w:pPr>
      <w:r>
        <w:t>On a motion by Trustee Perfetti seconded by Vice Chairman Cocca and carried, to accept the monthly adjustments for the September 2014 billing.  All ayes.</w:t>
      </w:r>
    </w:p>
    <w:p w:rsidR="00384F04" w:rsidRDefault="00384F04" w:rsidP="00384F04">
      <w:pPr>
        <w:jc w:val="both"/>
      </w:pPr>
    </w:p>
    <w:p w:rsidR="00384F04" w:rsidRDefault="001554DD" w:rsidP="00384F04">
      <w:pPr>
        <w:jc w:val="both"/>
      </w:pPr>
      <w:r>
        <w:t>Chairperson McNulty-Ryan stated that the next item is consideration of resolution pertaining to New York Independent System Operator, Inc. and to grant authorization to the Chairperson and Chief Executive Officer to execute and deliver service agreements.</w:t>
      </w:r>
    </w:p>
    <w:p w:rsidR="001554DD" w:rsidRDefault="001554DD" w:rsidP="00384F04">
      <w:pPr>
        <w:jc w:val="both"/>
      </w:pPr>
    </w:p>
    <w:p w:rsidR="001554DD" w:rsidRDefault="001554DD" w:rsidP="00384F04">
      <w:pPr>
        <w:jc w:val="both"/>
      </w:pPr>
      <w:r>
        <w:t>Kristin went on to state that this is the next step in the process of becoming a member of the ISO, this is the resolution that they require us to adopt.</w:t>
      </w:r>
    </w:p>
    <w:p w:rsidR="001554DD" w:rsidRDefault="001554DD" w:rsidP="00384F04">
      <w:pPr>
        <w:jc w:val="both"/>
      </w:pPr>
    </w:p>
    <w:p w:rsidR="001554DD" w:rsidRDefault="001554DD" w:rsidP="00384F04">
      <w:pPr>
        <w:jc w:val="both"/>
      </w:pPr>
      <w:r>
        <w:t>On a motion by Vice Chairman Cocca seconded by Trustee Bourgeois and carried, to adopt a resolution pertaining to New York Independent System Operator, Inc. and to grant authorization to Chairperson and Chief Executive Officer to execute and deliver service agreements.  All ayes.</w:t>
      </w:r>
    </w:p>
    <w:p w:rsidR="001554DD" w:rsidRDefault="001554DD" w:rsidP="00384F04">
      <w:pPr>
        <w:jc w:val="both"/>
      </w:pPr>
    </w:p>
    <w:p w:rsidR="001554DD" w:rsidRDefault="001554DD" w:rsidP="00384F04">
      <w:pPr>
        <w:jc w:val="both"/>
      </w:pPr>
      <w:r>
        <w:t>The resolution reads as follows:</w:t>
      </w:r>
    </w:p>
    <w:p w:rsidR="00B17158" w:rsidRPr="00404B32" w:rsidRDefault="00B17158" w:rsidP="00B17158">
      <w:pPr>
        <w:rPr>
          <w:bCs/>
          <w:sz w:val="22"/>
          <w:szCs w:val="22"/>
          <w:u w:val="single"/>
        </w:rPr>
      </w:pPr>
    </w:p>
    <w:p w:rsidR="00B17158" w:rsidRPr="00A65E2D" w:rsidRDefault="00B17158" w:rsidP="00B17158">
      <w:pPr>
        <w:jc w:val="both"/>
        <w:rPr>
          <w:bCs/>
        </w:rPr>
      </w:pPr>
      <w:r w:rsidRPr="00A65E2D">
        <w:rPr>
          <w:bCs/>
        </w:rPr>
        <w:t>At a regular meeting of the Board of Trustees of the Green Island Power Authority held on Monday, September 15, 2014, at 6:00 p.m., at the Green Island Municipal Center, 19 George Street, Green Island, New York, the following resolution was offered by Vice Chairman Cocca and seconded by Trustee Bourgeois, and adopted:</w:t>
      </w:r>
    </w:p>
    <w:p w:rsidR="00B17158" w:rsidRPr="00A65E2D" w:rsidRDefault="00B17158" w:rsidP="00B17158">
      <w:pPr>
        <w:jc w:val="both"/>
        <w:rPr>
          <w:bCs/>
        </w:rPr>
      </w:pPr>
    </w:p>
    <w:p w:rsidR="00B17158" w:rsidRPr="00A65E2D" w:rsidRDefault="00B17158" w:rsidP="00B17158">
      <w:pPr>
        <w:jc w:val="both"/>
        <w:rPr>
          <w:bCs/>
        </w:rPr>
      </w:pPr>
      <w:r w:rsidRPr="00A65E2D">
        <w:rPr>
          <w:bCs/>
        </w:rPr>
        <w:lastRenderedPageBreak/>
        <w:t>WHEREAS, Green Island Power Authority desires to participate in the markets of or otherwise take service from the New York Independent System Operator, Inc. (“NYISO”); and</w:t>
      </w:r>
    </w:p>
    <w:p w:rsidR="00B17158" w:rsidRPr="00A65E2D" w:rsidRDefault="00B17158" w:rsidP="00B17158">
      <w:pPr>
        <w:jc w:val="both"/>
        <w:rPr>
          <w:bCs/>
        </w:rPr>
      </w:pPr>
    </w:p>
    <w:p w:rsidR="00B17158" w:rsidRPr="00A65E2D" w:rsidRDefault="00B17158" w:rsidP="00B17158">
      <w:pPr>
        <w:jc w:val="both"/>
        <w:rPr>
          <w:bCs/>
        </w:rPr>
      </w:pPr>
      <w:r w:rsidRPr="00A65E2D">
        <w:rPr>
          <w:bCs/>
        </w:rPr>
        <w:t>WHEREAS, the Board of Trustees of the Green Island Power Authority deems the NYISO application and the transactions contemplated thereby to be advisable and in the best interests of the Green Island Power Authority.</w:t>
      </w:r>
    </w:p>
    <w:p w:rsidR="00B17158" w:rsidRPr="00A65E2D" w:rsidRDefault="00B17158" w:rsidP="00B17158">
      <w:pPr>
        <w:jc w:val="both"/>
        <w:rPr>
          <w:bCs/>
        </w:rPr>
      </w:pPr>
    </w:p>
    <w:p w:rsidR="00B17158" w:rsidRPr="00A65E2D" w:rsidRDefault="00B17158" w:rsidP="00B17158">
      <w:pPr>
        <w:jc w:val="both"/>
        <w:rPr>
          <w:bCs/>
        </w:rPr>
      </w:pPr>
      <w:r w:rsidRPr="00A65E2D">
        <w:rPr>
          <w:bCs/>
        </w:rPr>
        <w:t>NOW, THEREFORE, BE IT RESOLVED, that the Green Island Power Authority is hereby authorized and directed to apply to become a NYISO customer and, accordingly, to schedule energy transactions with the NYISO, participate in transactions within the NYISO markets, and otherwise take service in accordance with the NYISO tariffs; and further</w:t>
      </w:r>
    </w:p>
    <w:p w:rsidR="00B17158" w:rsidRPr="00A65E2D" w:rsidRDefault="00B17158" w:rsidP="00B17158">
      <w:pPr>
        <w:jc w:val="both"/>
        <w:rPr>
          <w:bCs/>
        </w:rPr>
      </w:pPr>
    </w:p>
    <w:p w:rsidR="00B17158" w:rsidRPr="00A65E2D" w:rsidRDefault="00B17158" w:rsidP="00B17158">
      <w:pPr>
        <w:jc w:val="both"/>
        <w:rPr>
          <w:bCs/>
        </w:rPr>
      </w:pPr>
      <w:r w:rsidRPr="00A65E2D">
        <w:rPr>
          <w:bCs/>
        </w:rPr>
        <w:t>RESOLVED, that any one of the following:</w:t>
      </w:r>
    </w:p>
    <w:p w:rsidR="00B17158" w:rsidRPr="00A65E2D" w:rsidRDefault="00B17158" w:rsidP="00B17158">
      <w:pPr>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6"/>
        <w:gridCol w:w="288"/>
        <w:gridCol w:w="2736"/>
        <w:gridCol w:w="288"/>
        <w:gridCol w:w="2736"/>
      </w:tblGrid>
      <w:tr w:rsidR="00B17158" w:rsidRPr="00A65E2D" w:rsidTr="00643BC7">
        <w:tc>
          <w:tcPr>
            <w:tcW w:w="2736" w:type="dxa"/>
            <w:tcBorders>
              <w:bottom w:val="single" w:sz="4" w:space="0" w:color="auto"/>
            </w:tcBorders>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r w:rsidRPr="00A65E2D">
              <w:rPr>
                <w:bCs/>
              </w:rPr>
              <w:t>Ellen M. McNulty-Ryan</w:t>
            </w:r>
          </w:p>
        </w:tc>
        <w:tc>
          <w:tcPr>
            <w:tcW w:w="288" w:type="dxa"/>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p>
        </w:tc>
        <w:tc>
          <w:tcPr>
            <w:tcW w:w="2736" w:type="dxa"/>
            <w:tcBorders>
              <w:bottom w:val="single" w:sz="4" w:space="0" w:color="auto"/>
            </w:tcBorders>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r w:rsidRPr="00A65E2D">
              <w:rPr>
                <w:bCs/>
              </w:rPr>
              <w:t>Chairperson</w:t>
            </w:r>
          </w:p>
        </w:tc>
        <w:tc>
          <w:tcPr>
            <w:tcW w:w="288" w:type="dxa"/>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p>
        </w:tc>
        <w:tc>
          <w:tcPr>
            <w:tcW w:w="2736" w:type="dxa"/>
            <w:tcBorders>
              <w:bottom w:val="single" w:sz="4" w:space="0" w:color="auto"/>
            </w:tcBorders>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p>
        </w:tc>
      </w:tr>
      <w:tr w:rsidR="00B17158" w:rsidRPr="00A65E2D" w:rsidTr="00643BC7">
        <w:tc>
          <w:tcPr>
            <w:tcW w:w="2736" w:type="dxa"/>
            <w:tcBorders>
              <w:top w:val="single" w:sz="4" w:space="0" w:color="auto"/>
            </w:tcBorders>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r w:rsidRPr="00A65E2D">
              <w:rPr>
                <w:bCs/>
              </w:rPr>
              <w:t>Name</w:t>
            </w:r>
          </w:p>
        </w:tc>
        <w:tc>
          <w:tcPr>
            <w:tcW w:w="288" w:type="dxa"/>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p>
        </w:tc>
        <w:tc>
          <w:tcPr>
            <w:tcW w:w="2736" w:type="dxa"/>
            <w:tcBorders>
              <w:top w:val="single" w:sz="4" w:space="0" w:color="auto"/>
            </w:tcBorders>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r w:rsidRPr="00A65E2D">
              <w:rPr>
                <w:bCs/>
              </w:rPr>
              <w:t>Title</w:t>
            </w:r>
          </w:p>
        </w:tc>
        <w:tc>
          <w:tcPr>
            <w:tcW w:w="288" w:type="dxa"/>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p>
        </w:tc>
        <w:tc>
          <w:tcPr>
            <w:tcW w:w="2736" w:type="dxa"/>
            <w:tcBorders>
              <w:top w:val="single" w:sz="4" w:space="0" w:color="auto"/>
            </w:tcBorders>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r w:rsidRPr="00A65E2D">
              <w:rPr>
                <w:bCs/>
              </w:rPr>
              <w:t>Signature</w:t>
            </w:r>
          </w:p>
        </w:tc>
      </w:tr>
    </w:tbl>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6"/>
        <w:gridCol w:w="288"/>
        <w:gridCol w:w="2736"/>
        <w:gridCol w:w="288"/>
        <w:gridCol w:w="2736"/>
      </w:tblGrid>
      <w:tr w:rsidR="00B17158" w:rsidRPr="00A65E2D" w:rsidTr="00643BC7">
        <w:tc>
          <w:tcPr>
            <w:tcW w:w="2736" w:type="dxa"/>
            <w:tcBorders>
              <w:bottom w:val="single" w:sz="4" w:space="0" w:color="auto"/>
            </w:tcBorders>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r w:rsidRPr="00A65E2D">
              <w:rPr>
                <w:bCs/>
              </w:rPr>
              <w:t>Kristin Swinton</w:t>
            </w:r>
          </w:p>
        </w:tc>
        <w:tc>
          <w:tcPr>
            <w:tcW w:w="288" w:type="dxa"/>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p>
        </w:tc>
        <w:tc>
          <w:tcPr>
            <w:tcW w:w="2736" w:type="dxa"/>
            <w:tcBorders>
              <w:bottom w:val="single" w:sz="4" w:space="0" w:color="auto"/>
            </w:tcBorders>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r w:rsidRPr="00A65E2D">
              <w:rPr>
                <w:bCs/>
              </w:rPr>
              <w:t>Chief Executive Officer</w:t>
            </w:r>
          </w:p>
        </w:tc>
        <w:tc>
          <w:tcPr>
            <w:tcW w:w="288" w:type="dxa"/>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p>
        </w:tc>
        <w:tc>
          <w:tcPr>
            <w:tcW w:w="2736" w:type="dxa"/>
            <w:tcBorders>
              <w:bottom w:val="single" w:sz="4" w:space="0" w:color="auto"/>
            </w:tcBorders>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p>
        </w:tc>
      </w:tr>
      <w:tr w:rsidR="00B17158" w:rsidRPr="00A65E2D" w:rsidTr="00643BC7">
        <w:tc>
          <w:tcPr>
            <w:tcW w:w="2736" w:type="dxa"/>
            <w:tcBorders>
              <w:top w:val="single" w:sz="4" w:space="0" w:color="auto"/>
            </w:tcBorders>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r w:rsidRPr="00A65E2D">
              <w:rPr>
                <w:bCs/>
              </w:rPr>
              <w:t>Name</w:t>
            </w:r>
          </w:p>
        </w:tc>
        <w:tc>
          <w:tcPr>
            <w:tcW w:w="288" w:type="dxa"/>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p>
        </w:tc>
        <w:tc>
          <w:tcPr>
            <w:tcW w:w="2736" w:type="dxa"/>
            <w:tcBorders>
              <w:top w:val="single" w:sz="4" w:space="0" w:color="auto"/>
            </w:tcBorders>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r w:rsidRPr="00A65E2D">
              <w:rPr>
                <w:bCs/>
              </w:rPr>
              <w:t>Title</w:t>
            </w:r>
          </w:p>
        </w:tc>
        <w:tc>
          <w:tcPr>
            <w:tcW w:w="288" w:type="dxa"/>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p>
        </w:tc>
        <w:tc>
          <w:tcPr>
            <w:tcW w:w="2736" w:type="dxa"/>
            <w:tcBorders>
              <w:top w:val="single" w:sz="4" w:space="0" w:color="auto"/>
            </w:tcBorders>
          </w:tcPr>
          <w:p w:rsidR="00B17158" w:rsidRPr="00A65E2D" w:rsidRDefault="00B17158" w:rsidP="00B17158">
            <w:pPr>
              <w:tabs>
                <w:tab w:val="right" w:leader="underscore" w:pos="2736"/>
                <w:tab w:val="right" w:pos="3024"/>
                <w:tab w:val="left" w:leader="underscore" w:pos="5616"/>
                <w:tab w:val="left" w:pos="5904"/>
                <w:tab w:val="right" w:leader="underscore" w:pos="8640"/>
              </w:tabs>
              <w:jc w:val="both"/>
              <w:rPr>
                <w:bCs/>
              </w:rPr>
            </w:pPr>
            <w:r w:rsidRPr="00A65E2D">
              <w:rPr>
                <w:bCs/>
              </w:rPr>
              <w:t>Signature</w:t>
            </w:r>
          </w:p>
        </w:tc>
      </w:tr>
    </w:tbl>
    <w:p w:rsidR="00B17158" w:rsidRPr="00A65E2D" w:rsidRDefault="00B17158" w:rsidP="00B17158">
      <w:pPr>
        <w:jc w:val="both"/>
        <w:rPr>
          <w:bCs/>
        </w:rPr>
      </w:pPr>
    </w:p>
    <w:p w:rsidR="00B17158" w:rsidRPr="00A65E2D" w:rsidRDefault="00B17158" w:rsidP="00B17158">
      <w:pPr>
        <w:jc w:val="both"/>
        <w:rPr>
          <w:bCs/>
        </w:rPr>
      </w:pPr>
      <w:r w:rsidRPr="00A65E2D">
        <w:rPr>
          <w:bCs/>
        </w:rPr>
        <w:t>is hereby authorized and directed to execute and deliver service agreements and all such other documents, instruments, and agreements, and to take all such actions in the name and on behalf of the Green Island Power Authority, as may be reasonably necessary or desirable to give effect to the foregoing resolutions; and further</w:t>
      </w:r>
    </w:p>
    <w:p w:rsidR="00B17158" w:rsidRPr="00A65E2D" w:rsidRDefault="00B17158" w:rsidP="00B17158">
      <w:pPr>
        <w:jc w:val="both"/>
        <w:rPr>
          <w:bCs/>
        </w:rPr>
      </w:pPr>
    </w:p>
    <w:p w:rsidR="00B17158" w:rsidRPr="00A65E2D" w:rsidRDefault="00B17158" w:rsidP="00B17158">
      <w:pPr>
        <w:jc w:val="both"/>
        <w:rPr>
          <w:bCs/>
        </w:rPr>
      </w:pPr>
      <w:r w:rsidRPr="00A65E2D">
        <w:rPr>
          <w:bCs/>
        </w:rPr>
        <w:t>RESOLVED, that the authority given hereunder shall be deemed retroactive and any and all acts authorized hereunder performed prior to the passage of this resolution are hereby ratified and affirmed.</w:t>
      </w:r>
    </w:p>
    <w:p w:rsidR="00B17158" w:rsidRPr="00A65E2D" w:rsidRDefault="00B17158" w:rsidP="00B17158">
      <w:pPr>
        <w:jc w:val="both"/>
        <w:rPr>
          <w:bCs/>
        </w:rPr>
      </w:pPr>
    </w:p>
    <w:p w:rsidR="00B17158" w:rsidRPr="00A65E2D" w:rsidRDefault="00B17158" w:rsidP="00B17158">
      <w:pPr>
        <w:jc w:val="both"/>
        <w:rPr>
          <w:bCs/>
        </w:rPr>
      </w:pPr>
      <w:r w:rsidRPr="00A65E2D">
        <w:rPr>
          <w:bCs/>
        </w:rPr>
        <w:t>I hereby certify that the foregoing preamble and resolutions were adopted by the Board of Trustees of the Green Island Power Authority at a regular meeting at which a quorum was present.</w:t>
      </w:r>
    </w:p>
    <w:p w:rsidR="00B17158" w:rsidRPr="00A65E2D" w:rsidRDefault="00B17158" w:rsidP="00B17158">
      <w:pPr>
        <w:jc w:val="both"/>
        <w:rPr>
          <w:bCs/>
        </w:rPr>
      </w:pPr>
    </w:p>
    <w:p w:rsidR="00B17158" w:rsidRPr="00A65E2D" w:rsidRDefault="00B17158" w:rsidP="00B17158">
      <w:pPr>
        <w:jc w:val="both"/>
        <w:rPr>
          <w:bCs/>
        </w:rPr>
      </w:pPr>
      <w:r w:rsidRPr="00A65E2D">
        <w:rPr>
          <w:bCs/>
        </w:rPr>
        <w:t>Dated:  September 15, 2014</w:t>
      </w:r>
    </w:p>
    <w:p w:rsidR="001554DD" w:rsidRPr="00A65E2D" w:rsidRDefault="001554DD" w:rsidP="00384F04">
      <w:pPr>
        <w:jc w:val="both"/>
      </w:pPr>
    </w:p>
    <w:p w:rsidR="00384F04" w:rsidRPr="00A65E2D" w:rsidRDefault="00B17158" w:rsidP="00384F04">
      <w:pPr>
        <w:jc w:val="both"/>
      </w:pPr>
      <w:r w:rsidRPr="00A65E2D">
        <w:t>Chairperson McNulty-Ryan stated that the next item for consideration is authorizing the Chief Financial Officer to sign renewal with Electronic Business Products to continue lease of copier equipment.</w:t>
      </w:r>
    </w:p>
    <w:p w:rsidR="00B17158" w:rsidRPr="00A65E2D" w:rsidRDefault="00B17158" w:rsidP="00384F04">
      <w:pPr>
        <w:jc w:val="both"/>
      </w:pPr>
    </w:p>
    <w:p w:rsidR="00B17158" w:rsidRPr="00A65E2D" w:rsidRDefault="00B17158" w:rsidP="00384F04">
      <w:pPr>
        <w:jc w:val="both"/>
      </w:pPr>
      <w:r w:rsidRPr="00A65E2D">
        <w:t xml:space="preserve">Madeline stated that </w:t>
      </w:r>
      <w:r w:rsidR="00D03637" w:rsidRPr="00A65E2D">
        <w:t>it was a four year lease term and it expires in November of this year.  Currently, we pay $231.50 on our maintenance for it and our contract is actually going to go down to approximately $180 per month.  We will be receiving a new copier and that is why the cost is going to go down because it is more efficient and the terms will be same.</w:t>
      </w:r>
    </w:p>
    <w:p w:rsidR="00D03637" w:rsidRPr="00A65E2D" w:rsidRDefault="00D03637" w:rsidP="00384F04">
      <w:pPr>
        <w:jc w:val="both"/>
      </w:pPr>
    </w:p>
    <w:p w:rsidR="00384F04" w:rsidRPr="00A65E2D" w:rsidRDefault="00384F04" w:rsidP="00384F04">
      <w:pPr>
        <w:jc w:val="both"/>
      </w:pPr>
      <w:r w:rsidRPr="00A65E2D">
        <w:t xml:space="preserve">On a motion by Trustee </w:t>
      </w:r>
      <w:r w:rsidR="00D03637" w:rsidRPr="00A65E2D">
        <w:t>DeMento</w:t>
      </w:r>
      <w:r w:rsidRPr="00A65E2D">
        <w:t xml:space="preserve"> seconded by Trustee </w:t>
      </w:r>
      <w:r w:rsidR="00D03637" w:rsidRPr="00A65E2D">
        <w:t>Perfetti</w:t>
      </w:r>
      <w:r w:rsidRPr="00A65E2D">
        <w:t xml:space="preserve"> and carried, to authorize the </w:t>
      </w:r>
      <w:r w:rsidR="00D03637" w:rsidRPr="00A65E2D">
        <w:t xml:space="preserve">Chief Financial Officer to sign lease agreement with Electronic Business Products for lease of copier equipment for a four year term at a cost of $180.00 per month.   </w:t>
      </w:r>
      <w:r w:rsidRPr="00A65E2D">
        <w:t xml:space="preserve">All ayes. </w:t>
      </w:r>
    </w:p>
    <w:p w:rsidR="00384F04" w:rsidRPr="00A65E2D" w:rsidRDefault="00384F04" w:rsidP="00384F04">
      <w:pPr>
        <w:jc w:val="both"/>
      </w:pPr>
    </w:p>
    <w:p w:rsidR="00384F04" w:rsidRPr="00A65E2D" w:rsidRDefault="00384F04" w:rsidP="00384F04">
      <w:pPr>
        <w:jc w:val="both"/>
      </w:pPr>
      <w:r w:rsidRPr="00A65E2D">
        <w:lastRenderedPageBreak/>
        <w:t>No further business.</w:t>
      </w:r>
    </w:p>
    <w:p w:rsidR="00384F04" w:rsidRPr="00A65E2D" w:rsidRDefault="00384F04" w:rsidP="00384F04">
      <w:pPr>
        <w:jc w:val="both"/>
      </w:pPr>
    </w:p>
    <w:p w:rsidR="00025518" w:rsidRPr="00A65E2D" w:rsidRDefault="00384F04" w:rsidP="003A5761">
      <w:pPr>
        <w:jc w:val="both"/>
      </w:pPr>
      <w:r w:rsidRPr="00A65E2D">
        <w:t>On a motion by Vice Chairman Cocca seconded by Trustee DeMento and carried, to adjourn the meeting at 6:05 p.m.  All ayes.</w:t>
      </w:r>
    </w:p>
    <w:sectPr w:rsidR="00025518" w:rsidRPr="00A65E2D" w:rsidSect="00A65E2D">
      <w:footerReference w:type="default" r:id="rId7"/>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37" w:rsidRDefault="00D03637" w:rsidP="00D03637">
      <w:r>
        <w:separator/>
      </w:r>
    </w:p>
  </w:endnote>
  <w:endnote w:type="continuationSeparator" w:id="0">
    <w:p w:rsidR="00D03637" w:rsidRDefault="00D03637" w:rsidP="00D0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868568"/>
      <w:docPartObj>
        <w:docPartGallery w:val="Page Numbers (Bottom of Page)"/>
        <w:docPartUnique/>
      </w:docPartObj>
    </w:sdtPr>
    <w:sdtEndPr>
      <w:rPr>
        <w:noProof/>
      </w:rPr>
    </w:sdtEndPr>
    <w:sdtContent>
      <w:p w:rsidR="00D03637" w:rsidRDefault="00D03637">
        <w:pPr>
          <w:pStyle w:val="Footer"/>
          <w:jc w:val="right"/>
        </w:pPr>
        <w:r>
          <w:fldChar w:fldCharType="begin"/>
        </w:r>
        <w:r>
          <w:instrText xml:space="preserve"> PAGE   \* MERGEFORMAT </w:instrText>
        </w:r>
        <w:r>
          <w:fldChar w:fldCharType="separate"/>
        </w:r>
        <w:r w:rsidR="00596498">
          <w:rPr>
            <w:noProof/>
          </w:rPr>
          <w:t>1</w:t>
        </w:r>
        <w:r>
          <w:rPr>
            <w:noProof/>
          </w:rPr>
          <w:fldChar w:fldCharType="end"/>
        </w:r>
      </w:p>
    </w:sdtContent>
  </w:sdt>
  <w:p w:rsidR="00D03637" w:rsidRDefault="00D03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37" w:rsidRDefault="00D03637" w:rsidP="00D03637">
      <w:r>
        <w:separator/>
      </w:r>
    </w:p>
  </w:footnote>
  <w:footnote w:type="continuationSeparator" w:id="0">
    <w:p w:rsidR="00D03637" w:rsidRDefault="00D03637" w:rsidP="00D03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04"/>
    <w:rsid w:val="00025518"/>
    <w:rsid w:val="000D5FC6"/>
    <w:rsid w:val="001554DD"/>
    <w:rsid w:val="00330BBE"/>
    <w:rsid w:val="00384F04"/>
    <w:rsid w:val="003A5761"/>
    <w:rsid w:val="00596498"/>
    <w:rsid w:val="007257B8"/>
    <w:rsid w:val="00927449"/>
    <w:rsid w:val="00A200FA"/>
    <w:rsid w:val="00A53CE8"/>
    <w:rsid w:val="00A65E2D"/>
    <w:rsid w:val="00B13DC9"/>
    <w:rsid w:val="00B17158"/>
    <w:rsid w:val="00B75512"/>
    <w:rsid w:val="00D0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0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7449"/>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384F04"/>
    <w:pPr>
      <w:jc w:val="both"/>
    </w:pPr>
  </w:style>
  <w:style w:type="character" w:customStyle="1" w:styleId="BodyTextChar">
    <w:name w:val="Body Text Char"/>
    <w:basedOn w:val="DefaultParagraphFont"/>
    <w:link w:val="BodyText"/>
    <w:semiHidden/>
    <w:rsid w:val="00384F04"/>
    <w:rPr>
      <w:rFonts w:ascii="Times New Roman" w:eastAsia="Times New Roman" w:hAnsi="Times New Roman" w:cs="Times New Roman"/>
      <w:sz w:val="24"/>
      <w:szCs w:val="24"/>
    </w:rPr>
  </w:style>
  <w:style w:type="table" w:styleId="TableGrid">
    <w:name w:val="Table Grid"/>
    <w:basedOn w:val="TableNormal"/>
    <w:uiPriority w:val="59"/>
    <w:rsid w:val="00B1715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637"/>
    <w:pPr>
      <w:tabs>
        <w:tab w:val="center" w:pos="4680"/>
        <w:tab w:val="right" w:pos="9360"/>
      </w:tabs>
    </w:pPr>
  </w:style>
  <w:style w:type="character" w:customStyle="1" w:styleId="HeaderChar">
    <w:name w:val="Header Char"/>
    <w:basedOn w:val="DefaultParagraphFont"/>
    <w:link w:val="Header"/>
    <w:uiPriority w:val="99"/>
    <w:rsid w:val="00D036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3637"/>
    <w:pPr>
      <w:tabs>
        <w:tab w:val="center" w:pos="4680"/>
        <w:tab w:val="right" w:pos="9360"/>
      </w:tabs>
    </w:pPr>
  </w:style>
  <w:style w:type="character" w:customStyle="1" w:styleId="FooterChar">
    <w:name w:val="Footer Char"/>
    <w:basedOn w:val="DefaultParagraphFont"/>
    <w:link w:val="Footer"/>
    <w:uiPriority w:val="99"/>
    <w:rsid w:val="00D0363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0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7449"/>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384F04"/>
    <w:pPr>
      <w:jc w:val="both"/>
    </w:pPr>
  </w:style>
  <w:style w:type="character" w:customStyle="1" w:styleId="BodyTextChar">
    <w:name w:val="Body Text Char"/>
    <w:basedOn w:val="DefaultParagraphFont"/>
    <w:link w:val="BodyText"/>
    <w:semiHidden/>
    <w:rsid w:val="00384F04"/>
    <w:rPr>
      <w:rFonts w:ascii="Times New Roman" w:eastAsia="Times New Roman" w:hAnsi="Times New Roman" w:cs="Times New Roman"/>
      <w:sz w:val="24"/>
      <w:szCs w:val="24"/>
    </w:rPr>
  </w:style>
  <w:style w:type="table" w:styleId="TableGrid">
    <w:name w:val="Table Grid"/>
    <w:basedOn w:val="TableNormal"/>
    <w:uiPriority w:val="59"/>
    <w:rsid w:val="00B1715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637"/>
    <w:pPr>
      <w:tabs>
        <w:tab w:val="center" w:pos="4680"/>
        <w:tab w:val="right" w:pos="9360"/>
      </w:tabs>
    </w:pPr>
  </w:style>
  <w:style w:type="character" w:customStyle="1" w:styleId="HeaderChar">
    <w:name w:val="Header Char"/>
    <w:basedOn w:val="DefaultParagraphFont"/>
    <w:link w:val="Header"/>
    <w:uiPriority w:val="99"/>
    <w:rsid w:val="00D036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3637"/>
    <w:pPr>
      <w:tabs>
        <w:tab w:val="center" w:pos="4680"/>
        <w:tab w:val="right" w:pos="9360"/>
      </w:tabs>
    </w:pPr>
  </w:style>
  <w:style w:type="character" w:customStyle="1" w:styleId="FooterChar">
    <w:name w:val="Footer Char"/>
    <w:basedOn w:val="DefaultParagraphFont"/>
    <w:link w:val="Footer"/>
    <w:uiPriority w:val="99"/>
    <w:rsid w:val="00D036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2014-10-01T16:00:00Z</cp:lastPrinted>
  <dcterms:created xsi:type="dcterms:W3CDTF">2015-01-13T18:51:00Z</dcterms:created>
  <dcterms:modified xsi:type="dcterms:W3CDTF">2015-01-13T18:51:00Z</dcterms:modified>
</cp:coreProperties>
</file>